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3A" w:rsidRPr="008F197A" w:rsidRDefault="0081583A" w:rsidP="0081583A">
      <w:pPr>
        <w:rPr>
          <w:rFonts w:ascii="Verdana" w:hAnsi="Verdana"/>
          <w:sz w:val="28"/>
          <w:szCs w:val="28"/>
        </w:rPr>
      </w:pPr>
      <w:r w:rsidRPr="008F197A">
        <w:rPr>
          <w:rFonts w:ascii="Verdana" w:hAnsi="Verdana"/>
          <w:b/>
          <w:sz w:val="28"/>
          <w:szCs w:val="28"/>
        </w:rPr>
        <w:t>Taksonomi i historie</w:t>
      </w:r>
    </w:p>
    <w:p w:rsidR="0081583A" w:rsidRPr="006D532F" w:rsidRDefault="0081583A" w:rsidP="0081583A">
      <w:pPr>
        <w:rPr>
          <w:rFonts w:ascii="Verdana" w:hAnsi="Verdana"/>
          <w:sz w:val="22"/>
          <w:szCs w:val="22"/>
        </w:rPr>
      </w:pPr>
      <w:r w:rsidRPr="006D532F">
        <w:rPr>
          <w:rFonts w:ascii="Verdana" w:hAnsi="Verdana"/>
          <w:sz w:val="22"/>
          <w:szCs w:val="22"/>
        </w:rPr>
        <w:t>Indledende er det vigtigt at skelne mellem kilder og grundbogsstof. Kilder er groft sagt tekster fra den samtid, der skrives om, der kan udtrykke holdninger, hvor grundbogsstof er historiebøger, der er skrevet i nutiden om begivenheder i fortiden. Historiebøger bør ikke udtrykke holdninger, men gør det undertiden.</w:t>
      </w:r>
    </w:p>
    <w:p w:rsidR="0081583A" w:rsidRPr="006D532F" w:rsidRDefault="0081583A" w:rsidP="0081583A">
      <w:pPr>
        <w:rPr>
          <w:rFonts w:ascii="Verdana" w:hAnsi="Verdana"/>
          <w:sz w:val="22"/>
          <w:szCs w:val="22"/>
        </w:rPr>
      </w:pPr>
      <w:r w:rsidRPr="006D532F">
        <w:rPr>
          <w:rFonts w:ascii="Verdana" w:hAnsi="Verdana"/>
          <w:b/>
          <w:sz w:val="22"/>
          <w:szCs w:val="22"/>
        </w:rPr>
        <w:t>Redegørelse</w:t>
      </w:r>
      <w:r w:rsidRPr="006D532F">
        <w:rPr>
          <w:rFonts w:ascii="Verdana" w:hAnsi="Verdana"/>
          <w:sz w:val="22"/>
          <w:szCs w:val="22"/>
        </w:rPr>
        <w:t xml:space="preserve"> i historie handler om (kort) overordnet at gengive de vigtigste forhold. Det gøres typisk ud fra grundbogstekster, men kan også betyde en kort </w:t>
      </w:r>
      <w:proofErr w:type="spellStart"/>
      <w:r w:rsidRPr="006D532F">
        <w:rPr>
          <w:rFonts w:ascii="Verdana" w:hAnsi="Verdana"/>
          <w:sz w:val="22"/>
          <w:szCs w:val="22"/>
        </w:rPr>
        <w:t>indholdgengivelse</w:t>
      </w:r>
      <w:proofErr w:type="spellEnd"/>
      <w:r w:rsidRPr="006D532F">
        <w:rPr>
          <w:rFonts w:ascii="Verdana" w:hAnsi="Verdana"/>
          <w:sz w:val="22"/>
          <w:szCs w:val="22"/>
        </w:rPr>
        <w:t xml:space="preserve"> af en kilde. Det er vigtigt at forstå, at en redegørelse ikke er et referat af en anden tekst, men en kortfattet gengivelse af emnet for teksten. Man kan for eksempel redegøre for begivenhederne i 1. verdenskrig. Eller man kan redegøre for deltagerne i 1. verdenskrig.</w:t>
      </w:r>
    </w:p>
    <w:p w:rsidR="0081583A" w:rsidRPr="006D532F" w:rsidRDefault="0081583A" w:rsidP="0081583A">
      <w:pPr>
        <w:rPr>
          <w:rFonts w:ascii="Verdana" w:hAnsi="Verdana"/>
          <w:sz w:val="22"/>
          <w:szCs w:val="22"/>
        </w:rPr>
      </w:pPr>
      <w:r w:rsidRPr="006D532F">
        <w:rPr>
          <w:rFonts w:ascii="Verdana" w:hAnsi="Verdana"/>
          <w:sz w:val="22"/>
          <w:szCs w:val="22"/>
        </w:rPr>
        <w:t xml:space="preserve">Grænsen mellem redegørelse og analyse i historiefaget er flydende. I </w:t>
      </w:r>
      <w:r w:rsidRPr="006D532F">
        <w:rPr>
          <w:rFonts w:ascii="Verdana" w:hAnsi="Verdana"/>
          <w:b/>
          <w:sz w:val="22"/>
          <w:szCs w:val="22"/>
        </w:rPr>
        <w:t>analysen</w:t>
      </w:r>
      <w:r w:rsidRPr="006D532F">
        <w:rPr>
          <w:rFonts w:ascii="Verdana" w:hAnsi="Verdana"/>
          <w:sz w:val="22"/>
          <w:szCs w:val="22"/>
        </w:rPr>
        <w:t xml:space="preserve"> </w:t>
      </w:r>
      <w:proofErr w:type="gramStart"/>
      <w:r w:rsidRPr="006D532F">
        <w:rPr>
          <w:rFonts w:ascii="Verdana" w:hAnsi="Verdana"/>
          <w:sz w:val="22"/>
          <w:szCs w:val="22"/>
        </w:rPr>
        <w:t>lægger  man</w:t>
      </w:r>
      <w:proofErr w:type="gramEnd"/>
      <w:r w:rsidRPr="006D532F">
        <w:rPr>
          <w:rFonts w:ascii="Verdana" w:hAnsi="Verdana"/>
          <w:sz w:val="22"/>
          <w:szCs w:val="22"/>
        </w:rPr>
        <w:t xml:space="preserve"> vægt på årsager og konsekvenser, eller man nuancerer (eller opdeler) noget, så man fx ser på forskellige interesser. En analyse er længere og mere dybdegående end en redegørelse. Man kan analysere et emne ud fra både grundbøger og kilder. </w:t>
      </w:r>
    </w:p>
    <w:p w:rsidR="0081583A" w:rsidRPr="006D532F" w:rsidRDefault="0081583A" w:rsidP="0081583A">
      <w:pPr>
        <w:rPr>
          <w:rFonts w:ascii="Verdana" w:hAnsi="Verdana"/>
          <w:sz w:val="22"/>
          <w:szCs w:val="22"/>
        </w:rPr>
      </w:pPr>
      <w:r w:rsidRPr="006D532F">
        <w:rPr>
          <w:rFonts w:ascii="Verdana" w:hAnsi="Verdana"/>
          <w:sz w:val="22"/>
          <w:szCs w:val="22"/>
        </w:rPr>
        <w:t xml:space="preserve">At </w:t>
      </w:r>
      <w:r w:rsidRPr="006D532F">
        <w:rPr>
          <w:rFonts w:ascii="Verdana" w:hAnsi="Verdana"/>
          <w:b/>
          <w:sz w:val="22"/>
          <w:szCs w:val="22"/>
        </w:rPr>
        <w:t>vurdere</w:t>
      </w:r>
      <w:r w:rsidRPr="006D532F">
        <w:rPr>
          <w:rFonts w:ascii="Verdana" w:hAnsi="Verdana"/>
          <w:sz w:val="22"/>
          <w:szCs w:val="22"/>
        </w:rPr>
        <w:t xml:space="preserve"> betyder at tage stilling til noget. I historie kan man vurdere årsagerne til 1. verdenskrig. Det betyder, at man skal tage stilling til, hvilke årsager/konsekvenser der har betydet meget, og hvilke der har betydet mindre. Det gør man på baggrund af en redegørelse eller en analyse, som har fremdraget en mængde muligheder, man kan tage stilling til. I en vurdering kan man benytte sig af både grundbogsstof og kilder, men det er typisk, at man forsøger at vurdere på baggrund af mere end en tekst. (Men flere kilder kan dog fx godt være optrykt i den samme bog).</w:t>
      </w:r>
    </w:p>
    <w:p w:rsidR="0081583A" w:rsidRPr="006D532F" w:rsidRDefault="0081583A" w:rsidP="0081583A">
      <w:pPr>
        <w:rPr>
          <w:rFonts w:ascii="Verdana" w:hAnsi="Verdana"/>
          <w:sz w:val="22"/>
          <w:szCs w:val="22"/>
        </w:rPr>
      </w:pPr>
      <w:r w:rsidRPr="006D532F">
        <w:rPr>
          <w:rFonts w:ascii="Verdana" w:hAnsi="Verdana"/>
          <w:sz w:val="22"/>
          <w:szCs w:val="22"/>
        </w:rPr>
        <w:t xml:space="preserve">At </w:t>
      </w:r>
      <w:r w:rsidRPr="006D532F">
        <w:rPr>
          <w:rFonts w:ascii="Verdana" w:hAnsi="Verdana"/>
          <w:b/>
          <w:sz w:val="22"/>
          <w:szCs w:val="22"/>
        </w:rPr>
        <w:t>diskutere</w:t>
      </w:r>
      <w:r w:rsidRPr="006D532F">
        <w:rPr>
          <w:rFonts w:ascii="Verdana" w:hAnsi="Verdana"/>
          <w:sz w:val="22"/>
          <w:szCs w:val="22"/>
        </w:rPr>
        <w:t xml:space="preserve"> er i historie (ligesom i andre fag) at tage stilling på baggrund af en neutral gennemgang af flere (mindst to) muligheder eller synspunkter. Diskussionen minder således om vurderingen.</w:t>
      </w:r>
    </w:p>
    <w:p w:rsidR="0081583A" w:rsidRPr="006D532F" w:rsidRDefault="0081583A" w:rsidP="0081583A">
      <w:pPr>
        <w:rPr>
          <w:rFonts w:ascii="Verdana" w:hAnsi="Verdana"/>
          <w:sz w:val="22"/>
          <w:szCs w:val="22"/>
        </w:rPr>
      </w:pPr>
      <w:r w:rsidRPr="006D532F">
        <w:rPr>
          <w:rFonts w:ascii="Verdana" w:hAnsi="Verdana"/>
          <w:sz w:val="22"/>
          <w:szCs w:val="22"/>
        </w:rPr>
        <w:t>Som i andre fag stiger graden af selvstændighed fra redegørelse over analyse til vurdering/diskussion. Historie handler dog ofte om fjerne og dermed svært tilgængelige emner, så en redegørelse kan være svær nok i sig selv.</w:t>
      </w:r>
    </w:p>
    <w:p w:rsidR="0081583A" w:rsidRPr="006D532F" w:rsidRDefault="0081583A" w:rsidP="0081583A">
      <w:pPr>
        <w:rPr>
          <w:rFonts w:ascii="Verdana" w:hAnsi="Verdana"/>
          <w:sz w:val="22"/>
          <w:szCs w:val="22"/>
        </w:rPr>
      </w:pPr>
    </w:p>
    <w:p w:rsidR="0081583A" w:rsidRPr="006D532F" w:rsidRDefault="0081583A" w:rsidP="0081583A">
      <w:pPr>
        <w:rPr>
          <w:rFonts w:ascii="Verdana" w:hAnsi="Verdana"/>
          <w:b/>
          <w:sz w:val="22"/>
          <w:szCs w:val="22"/>
        </w:rPr>
      </w:pPr>
      <w:r w:rsidRPr="006D532F">
        <w:rPr>
          <w:rFonts w:ascii="Verdana" w:hAnsi="Verdana"/>
          <w:b/>
          <w:sz w:val="22"/>
          <w:szCs w:val="22"/>
        </w:rPr>
        <w:t>Empiri, teori og metode i historie</w:t>
      </w:r>
    </w:p>
    <w:p w:rsidR="0081583A" w:rsidRPr="006D532F" w:rsidRDefault="0081583A" w:rsidP="0081583A">
      <w:pPr>
        <w:rPr>
          <w:rFonts w:ascii="Verdana" w:hAnsi="Verdana"/>
          <w:sz w:val="22"/>
          <w:szCs w:val="22"/>
        </w:rPr>
      </w:pPr>
      <w:r w:rsidRPr="006D532F">
        <w:rPr>
          <w:rFonts w:ascii="Verdana" w:hAnsi="Verdana"/>
          <w:sz w:val="22"/>
          <w:szCs w:val="22"/>
        </w:rPr>
        <w:t>Historie kan defineres både som et humanistisk og et samfundsvidenskabeligt fag.</w:t>
      </w:r>
    </w:p>
    <w:p w:rsidR="0081583A" w:rsidRPr="006D532F" w:rsidRDefault="0081583A" w:rsidP="0081583A">
      <w:pPr>
        <w:rPr>
          <w:rFonts w:ascii="Verdana" w:hAnsi="Verdana"/>
          <w:sz w:val="22"/>
          <w:szCs w:val="22"/>
        </w:rPr>
      </w:pPr>
      <w:r w:rsidRPr="006D532F">
        <w:rPr>
          <w:rFonts w:ascii="Verdana" w:hAnsi="Verdana"/>
          <w:sz w:val="22"/>
          <w:szCs w:val="22"/>
        </w:rPr>
        <w:t xml:space="preserve">Mht. den </w:t>
      </w:r>
      <w:r w:rsidRPr="006D532F">
        <w:rPr>
          <w:rFonts w:ascii="Verdana" w:hAnsi="Verdana"/>
          <w:b/>
          <w:sz w:val="22"/>
          <w:szCs w:val="22"/>
        </w:rPr>
        <w:t>humanistiske del</w:t>
      </w:r>
      <w:r w:rsidRPr="006D532F">
        <w:rPr>
          <w:rFonts w:ascii="Verdana" w:hAnsi="Verdana"/>
          <w:sz w:val="22"/>
          <w:szCs w:val="22"/>
        </w:rPr>
        <w:t xml:space="preserve"> er det fortolkningen af tanker, tekster, handlinger etc., der er det metodiske princip. Se under empiri og metode i dansk.</w:t>
      </w:r>
    </w:p>
    <w:p w:rsidR="0081583A" w:rsidRPr="006D532F" w:rsidRDefault="0081583A" w:rsidP="0081583A">
      <w:pPr>
        <w:rPr>
          <w:rFonts w:ascii="Verdana" w:hAnsi="Verdana"/>
          <w:sz w:val="22"/>
          <w:szCs w:val="22"/>
        </w:rPr>
      </w:pPr>
      <w:r w:rsidRPr="006D532F">
        <w:rPr>
          <w:rFonts w:ascii="Verdana" w:hAnsi="Verdana"/>
          <w:sz w:val="22"/>
          <w:szCs w:val="22"/>
        </w:rPr>
        <w:t xml:space="preserve">Udgangspunktet for den </w:t>
      </w:r>
      <w:r w:rsidRPr="006D532F">
        <w:rPr>
          <w:rFonts w:ascii="Verdana" w:hAnsi="Verdana"/>
          <w:b/>
          <w:sz w:val="22"/>
          <w:szCs w:val="22"/>
        </w:rPr>
        <w:t>samfundsvidenskabelige</w:t>
      </w:r>
      <w:r w:rsidRPr="006D532F">
        <w:rPr>
          <w:rFonts w:ascii="Verdana" w:hAnsi="Verdana"/>
          <w:sz w:val="22"/>
          <w:szCs w:val="22"/>
        </w:rPr>
        <w:t xml:space="preserve"> undersøgelse (empiri) kan defineres som de strukturer og elementer, som menneskelige fællesskaber består af – EU, den danske stat, familien, fritidsklubben. Undersøgelsernes metoder kan inden for samfundsvidenskab være kvantitative, som udtrykkes i tal eller størrelser, eller kvalitative hvor andre mere nuancerede forhold end tal er gældende. Konkret kan metoderne f.eks. være statistisk analyse, observation, eksperiment, simulation etc.</w:t>
      </w:r>
    </w:p>
    <w:p w:rsidR="0081583A" w:rsidRPr="006D532F" w:rsidRDefault="0081583A" w:rsidP="0081583A">
      <w:pPr>
        <w:rPr>
          <w:rFonts w:ascii="Verdana" w:hAnsi="Verdana"/>
          <w:b/>
          <w:sz w:val="22"/>
          <w:szCs w:val="22"/>
        </w:rPr>
      </w:pPr>
    </w:p>
    <w:p w:rsidR="0081583A" w:rsidRPr="006D532F" w:rsidRDefault="0081583A" w:rsidP="0081583A">
      <w:pPr>
        <w:rPr>
          <w:rFonts w:ascii="Verdana" w:hAnsi="Verdana"/>
          <w:b/>
          <w:sz w:val="22"/>
          <w:szCs w:val="22"/>
        </w:rPr>
      </w:pPr>
    </w:p>
    <w:p w:rsidR="0081583A" w:rsidRPr="006D532F" w:rsidRDefault="0081583A" w:rsidP="0081583A">
      <w:pPr>
        <w:rPr>
          <w:rFonts w:ascii="Verdana" w:hAnsi="Verdana"/>
          <w:b/>
          <w:sz w:val="22"/>
          <w:szCs w:val="22"/>
        </w:rPr>
      </w:pPr>
    </w:p>
    <w:p w:rsidR="0081583A" w:rsidRPr="006D532F" w:rsidRDefault="0081583A" w:rsidP="0081583A">
      <w:pPr>
        <w:rPr>
          <w:rFonts w:ascii="Verdana" w:hAnsi="Verdana"/>
          <w:b/>
          <w:sz w:val="22"/>
          <w:szCs w:val="22"/>
        </w:rPr>
      </w:pPr>
    </w:p>
    <w:p w:rsidR="0081583A" w:rsidRPr="006D532F" w:rsidRDefault="0081583A" w:rsidP="0081583A">
      <w:pPr>
        <w:rPr>
          <w:rFonts w:ascii="Verdana" w:hAnsi="Verdana"/>
          <w:b/>
          <w:sz w:val="22"/>
          <w:szCs w:val="22"/>
        </w:rPr>
      </w:pPr>
    </w:p>
    <w:p w:rsidR="0081583A" w:rsidRPr="006D532F"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Default="0081583A" w:rsidP="0081583A">
      <w:pPr>
        <w:rPr>
          <w:rFonts w:ascii="Verdana" w:hAnsi="Verdana"/>
          <w:b/>
          <w:sz w:val="22"/>
          <w:szCs w:val="22"/>
        </w:rPr>
      </w:pPr>
    </w:p>
    <w:p w:rsidR="0081583A" w:rsidRPr="008F197A" w:rsidRDefault="0081583A" w:rsidP="0081583A">
      <w:pPr>
        <w:rPr>
          <w:rFonts w:ascii="Verdana" w:hAnsi="Verdana"/>
          <w:b/>
          <w:sz w:val="28"/>
          <w:szCs w:val="28"/>
        </w:rPr>
      </w:pPr>
      <w:r w:rsidRPr="008F197A">
        <w:rPr>
          <w:rFonts w:ascii="Verdana" w:hAnsi="Verdana"/>
          <w:b/>
          <w:sz w:val="28"/>
          <w:szCs w:val="28"/>
        </w:rPr>
        <w:lastRenderedPageBreak/>
        <w:t>Taksonomi i dansk</w:t>
      </w:r>
    </w:p>
    <w:p w:rsidR="0081583A" w:rsidRPr="006D532F" w:rsidRDefault="0081583A" w:rsidP="0081583A">
      <w:pPr>
        <w:rPr>
          <w:rFonts w:ascii="Verdana" w:hAnsi="Verdana"/>
          <w:sz w:val="22"/>
          <w:szCs w:val="22"/>
        </w:rPr>
      </w:pPr>
      <w:r w:rsidRPr="006D532F">
        <w:rPr>
          <w:rFonts w:ascii="Verdana" w:hAnsi="Verdana"/>
          <w:sz w:val="22"/>
          <w:szCs w:val="22"/>
        </w:rPr>
        <w:t>I dansk arbejder vi dels med primærlitteratur eller primærtekster og sekundærlitteratur eller sekundærtekster.</w:t>
      </w:r>
    </w:p>
    <w:p w:rsidR="0081583A" w:rsidRPr="006D532F" w:rsidRDefault="0081583A" w:rsidP="0081583A">
      <w:pPr>
        <w:rPr>
          <w:rFonts w:ascii="Verdana" w:hAnsi="Verdana"/>
          <w:sz w:val="22"/>
          <w:szCs w:val="22"/>
        </w:rPr>
      </w:pPr>
      <w:r w:rsidRPr="006D532F">
        <w:rPr>
          <w:rFonts w:ascii="Verdana" w:hAnsi="Verdana"/>
          <w:b/>
          <w:sz w:val="22"/>
          <w:szCs w:val="22"/>
        </w:rPr>
        <w:t>Primærlitteratur/-tekster</w:t>
      </w:r>
      <w:r w:rsidRPr="006D532F">
        <w:rPr>
          <w:rFonts w:ascii="Verdana" w:hAnsi="Verdana"/>
          <w:sz w:val="22"/>
          <w:szCs w:val="22"/>
        </w:rPr>
        <w:t xml:space="preserve"> er fiktive eller ikke-fiktive tekster inden for det litterære/sproglige/mediemæssige stofområde, som er den centrale genstand </w:t>
      </w:r>
      <w:proofErr w:type="gramStart"/>
      <w:r w:rsidRPr="006D532F">
        <w:rPr>
          <w:rFonts w:ascii="Verdana" w:hAnsi="Verdana"/>
          <w:sz w:val="22"/>
          <w:szCs w:val="22"/>
        </w:rPr>
        <w:t>for  vores</w:t>
      </w:r>
      <w:proofErr w:type="gramEnd"/>
      <w:r w:rsidRPr="006D532F">
        <w:rPr>
          <w:rFonts w:ascii="Verdana" w:hAnsi="Verdana"/>
          <w:sz w:val="22"/>
          <w:szCs w:val="22"/>
        </w:rPr>
        <w:t xml:space="preserve"> opgave. Det kan altså være en roman, en artikel, en film etc.</w:t>
      </w:r>
    </w:p>
    <w:p w:rsidR="0081583A" w:rsidRPr="006D532F" w:rsidRDefault="0081583A" w:rsidP="0081583A">
      <w:pPr>
        <w:rPr>
          <w:rFonts w:ascii="Verdana" w:hAnsi="Verdana"/>
          <w:sz w:val="22"/>
          <w:szCs w:val="22"/>
        </w:rPr>
      </w:pPr>
      <w:r w:rsidRPr="006D532F">
        <w:rPr>
          <w:rFonts w:ascii="Verdana" w:hAnsi="Verdana"/>
          <w:b/>
          <w:sz w:val="22"/>
          <w:szCs w:val="22"/>
        </w:rPr>
        <w:t>Sekundærlitteraturen/-sekundærteksterne</w:t>
      </w:r>
      <w:r w:rsidRPr="006D532F">
        <w:rPr>
          <w:rFonts w:ascii="Verdana" w:hAnsi="Verdana"/>
          <w:sz w:val="22"/>
          <w:szCs w:val="22"/>
        </w:rPr>
        <w:t xml:space="preserve"> er det oftest ikke-fiktive faglitterære materiale, der skal bruges som redskaber til undersøgelsen af primærlitteraturen. Det kan være litteraturhistorie, litterære analyser, grundbøger i sprog og grammatik, fagbøger om medier og journalistik, filmanmeldelser etc.</w:t>
      </w:r>
    </w:p>
    <w:p w:rsidR="0081583A" w:rsidRPr="006D532F" w:rsidRDefault="0081583A" w:rsidP="0081583A">
      <w:pPr>
        <w:rPr>
          <w:rFonts w:ascii="Verdana" w:hAnsi="Verdana"/>
          <w:sz w:val="22"/>
          <w:szCs w:val="22"/>
        </w:rPr>
      </w:pPr>
      <w:r w:rsidRPr="006D532F">
        <w:rPr>
          <w:rFonts w:ascii="Verdana" w:hAnsi="Verdana"/>
          <w:sz w:val="22"/>
          <w:szCs w:val="22"/>
        </w:rPr>
        <w:t xml:space="preserve">Som du kan se af ovenstående </w:t>
      </w:r>
      <w:proofErr w:type="gramStart"/>
      <w:r w:rsidRPr="006D532F">
        <w:rPr>
          <w:rFonts w:ascii="Verdana" w:hAnsi="Verdana"/>
          <w:sz w:val="22"/>
          <w:szCs w:val="22"/>
        </w:rPr>
        <w:t>taksonomiske</w:t>
      </w:r>
      <w:proofErr w:type="gramEnd"/>
      <w:r w:rsidRPr="006D532F">
        <w:rPr>
          <w:rFonts w:ascii="Verdana" w:hAnsi="Verdana"/>
          <w:sz w:val="22"/>
          <w:szCs w:val="22"/>
        </w:rPr>
        <w:t xml:space="preserve"> oversigt er det nederste trin på den taksonomiske stige</w:t>
      </w:r>
      <w:r w:rsidRPr="006D532F">
        <w:rPr>
          <w:rFonts w:ascii="Verdana" w:hAnsi="Verdana"/>
          <w:b/>
          <w:sz w:val="22"/>
          <w:szCs w:val="22"/>
        </w:rPr>
        <w:t xml:space="preserve"> referatet, redegørelsen og beskrivelsen</w:t>
      </w:r>
      <w:r w:rsidRPr="006D532F">
        <w:rPr>
          <w:rFonts w:ascii="Verdana" w:hAnsi="Verdana"/>
          <w:sz w:val="22"/>
          <w:szCs w:val="22"/>
        </w:rPr>
        <w:t>.</w:t>
      </w:r>
    </w:p>
    <w:p w:rsidR="0081583A" w:rsidRPr="006D532F" w:rsidRDefault="0081583A" w:rsidP="0081583A">
      <w:pPr>
        <w:rPr>
          <w:rFonts w:ascii="Verdana" w:hAnsi="Verdana"/>
          <w:sz w:val="22"/>
          <w:szCs w:val="22"/>
        </w:rPr>
      </w:pPr>
      <w:r w:rsidRPr="006D532F">
        <w:rPr>
          <w:rFonts w:ascii="Verdana" w:hAnsi="Verdana"/>
          <w:sz w:val="22"/>
          <w:szCs w:val="22"/>
        </w:rPr>
        <w:t>Her arbejder du med tekstens mest overfladiske lag, som f.eks. kunne være et referat af handlingen, en redegørelse for /beskrivelse af tekstens udgivelsesår, forfatter, tema, emner, tekstens ydre komposition etc.</w:t>
      </w:r>
    </w:p>
    <w:p w:rsidR="0081583A" w:rsidRPr="006D532F" w:rsidRDefault="0081583A" w:rsidP="0081583A">
      <w:pPr>
        <w:rPr>
          <w:rFonts w:ascii="Verdana" w:hAnsi="Verdana"/>
          <w:sz w:val="22"/>
          <w:szCs w:val="22"/>
        </w:rPr>
      </w:pPr>
      <w:r w:rsidRPr="006D532F">
        <w:rPr>
          <w:rFonts w:ascii="Verdana" w:hAnsi="Verdana"/>
          <w:sz w:val="22"/>
          <w:szCs w:val="22"/>
        </w:rPr>
        <w:t xml:space="preserve">Det næste trin er </w:t>
      </w:r>
      <w:r w:rsidRPr="006D532F">
        <w:rPr>
          <w:rFonts w:ascii="Verdana" w:hAnsi="Verdana"/>
          <w:b/>
          <w:sz w:val="22"/>
          <w:szCs w:val="22"/>
        </w:rPr>
        <w:t xml:space="preserve">analysen. </w:t>
      </w:r>
      <w:r w:rsidRPr="006D532F">
        <w:rPr>
          <w:rFonts w:ascii="Verdana" w:hAnsi="Verdana"/>
          <w:sz w:val="22"/>
          <w:szCs w:val="22"/>
        </w:rPr>
        <w:t>Her fokuserer du stadig på arbejdet med din primærtekst, men du bevæger dig nu ned i en dybere og mere kompleks analyse af værkets dybere lag. Du ser på elementer som indre komposition, anvendelse af sprog og stil, personernes karakter, adfærd og relationer, miljøet, argumentationsformer i ikke-fiktive tekster, dramaturgiske elementer i film, drama etc.</w:t>
      </w:r>
    </w:p>
    <w:p w:rsidR="0081583A" w:rsidRPr="006D532F" w:rsidRDefault="0081583A" w:rsidP="0081583A">
      <w:pPr>
        <w:rPr>
          <w:rFonts w:ascii="Verdana" w:hAnsi="Verdana"/>
          <w:sz w:val="22"/>
          <w:szCs w:val="22"/>
        </w:rPr>
      </w:pPr>
      <w:proofErr w:type="gramStart"/>
      <w:r w:rsidRPr="006D532F">
        <w:rPr>
          <w:rFonts w:ascii="Verdana" w:hAnsi="Verdana"/>
          <w:b/>
          <w:sz w:val="22"/>
          <w:szCs w:val="22"/>
        </w:rPr>
        <w:t xml:space="preserve">Fortolkningen </w:t>
      </w:r>
      <w:r w:rsidRPr="006D532F">
        <w:rPr>
          <w:rFonts w:ascii="Verdana" w:hAnsi="Verdana"/>
          <w:sz w:val="22"/>
          <w:szCs w:val="22"/>
        </w:rPr>
        <w:t xml:space="preserve"> er</w:t>
      </w:r>
      <w:proofErr w:type="gramEnd"/>
      <w:r w:rsidRPr="006D532F">
        <w:rPr>
          <w:rFonts w:ascii="Verdana" w:hAnsi="Verdana"/>
          <w:sz w:val="22"/>
          <w:szCs w:val="22"/>
        </w:rPr>
        <w:t xml:space="preserve"> det næste trin sammen med sammenfatning og refleksion. Her sammenfatter du dine iagttagelser og konklusioner fra analysen og ser på, hvad teksten vil fortælle, eller hvilken oplevelse den vil give sine læsere.</w:t>
      </w:r>
      <w:r w:rsidRPr="006D532F">
        <w:rPr>
          <w:rFonts w:ascii="Verdana" w:hAnsi="Verdana" w:cs="Arial"/>
          <w:color w:val="000000"/>
          <w:sz w:val="22"/>
          <w:szCs w:val="22"/>
        </w:rPr>
        <w:t xml:space="preserve"> </w:t>
      </w:r>
      <w:r w:rsidRPr="006D532F">
        <w:rPr>
          <w:rFonts w:ascii="Verdana" w:hAnsi="Verdana"/>
          <w:sz w:val="22"/>
          <w:szCs w:val="22"/>
        </w:rPr>
        <w:t>N</w:t>
      </w:r>
      <w:r w:rsidRPr="006D532F">
        <w:rPr>
          <w:rFonts w:ascii="Verdana" w:hAnsi="Verdana"/>
          <w:color w:val="000000"/>
          <w:sz w:val="22"/>
          <w:szCs w:val="22"/>
        </w:rPr>
        <w:t xml:space="preserve">år man fortolker, så </w:t>
      </w:r>
      <w:proofErr w:type="gramStart"/>
      <w:r w:rsidRPr="006D532F">
        <w:rPr>
          <w:rFonts w:ascii="Verdana" w:hAnsi="Verdana"/>
          <w:color w:val="000000"/>
          <w:sz w:val="22"/>
          <w:szCs w:val="22"/>
        </w:rPr>
        <w:t>læser  man</w:t>
      </w:r>
      <w:proofErr w:type="gramEnd"/>
      <w:r w:rsidRPr="006D532F">
        <w:rPr>
          <w:rFonts w:ascii="Verdana" w:hAnsi="Verdana"/>
          <w:color w:val="000000"/>
          <w:sz w:val="22"/>
          <w:szCs w:val="22"/>
        </w:rPr>
        <w:t xml:space="preserve"> en mening, der ligger bagved teksten - altså som ikke kan læses umiddelbart, men som alligevel er en del af kunstværket. Til fortolkningen kan man få god hjælp af sekundærlitteraturen og af at bruge bestemte metoder. Fx skal symboler i tekster fortolkes, for deres betydning står der ikke direkte. Eller modsætninger i teksten kan fortolkes til at dække noget bredere. Er der fx en rig og en fattig person, der mødes, kan det fortolkes bredere som forskellige samfundsgrupper. Under fortolkningen hører også budskabet.</w:t>
      </w:r>
    </w:p>
    <w:p w:rsidR="0081583A" w:rsidRPr="006D532F" w:rsidRDefault="0081583A" w:rsidP="0081583A">
      <w:pPr>
        <w:rPr>
          <w:rFonts w:ascii="Verdana" w:hAnsi="Verdana"/>
          <w:sz w:val="22"/>
          <w:szCs w:val="22"/>
        </w:rPr>
      </w:pPr>
      <w:r w:rsidRPr="006D532F">
        <w:rPr>
          <w:rFonts w:ascii="Verdana" w:hAnsi="Verdana"/>
          <w:sz w:val="22"/>
          <w:szCs w:val="22"/>
        </w:rPr>
        <w:t>Du bevæger dig på dette trin mellem din primærteksts univers og verden udenfor.</w:t>
      </w:r>
    </w:p>
    <w:p w:rsidR="0081583A" w:rsidRPr="006D532F" w:rsidRDefault="0081583A" w:rsidP="0081583A">
      <w:pPr>
        <w:rPr>
          <w:rFonts w:ascii="Verdana" w:hAnsi="Verdana"/>
          <w:sz w:val="22"/>
          <w:szCs w:val="22"/>
        </w:rPr>
      </w:pPr>
      <w:r w:rsidRPr="006D532F">
        <w:rPr>
          <w:rFonts w:ascii="Verdana" w:hAnsi="Verdana"/>
          <w:sz w:val="22"/>
          <w:szCs w:val="22"/>
        </w:rPr>
        <w:t xml:space="preserve">Endelig på det sidste trin arbejder du med, hvilke sammenhænge værket/teksten indgår i. Hvordan kan værket </w:t>
      </w:r>
      <w:r w:rsidRPr="006D532F">
        <w:rPr>
          <w:rFonts w:ascii="Verdana" w:hAnsi="Verdana"/>
          <w:b/>
          <w:sz w:val="22"/>
          <w:szCs w:val="22"/>
        </w:rPr>
        <w:t xml:space="preserve">perspektiveres </w:t>
      </w:r>
      <w:proofErr w:type="gramStart"/>
      <w:r w:rsidRPr="006D532F">
        <w:rPr>
          <w:rFonts w:ascii="Verdana" w:hAnsi="Verdana"/>
          <w:sz w:val="22"/>
          <w:szCs w:val="22"/>
        </w:rPr>
        <w:t>til  historiske</w:t>
      </w:r>
      <w:proofErr w:type="gramEnd"/>
      <w:r w:rsidRPr="006D532F">
        <w:rPr>
          <w:rFonts w:ascii="Verdana" w:hAnsi="Verdana"/>
          <w:sz w:val="22"/>
          <w:szCs w:val="22"/>
        </w:rPr>
        <w:t>, litterære, mediemæssige, sproglige sammenhænge uden for sig selv. Hvordan relaterer det sig til andre værker/tekster</w:t>
      </w:r>
      <w:proofErr w:type="gramStart"/>
      <w:r w:rsidRPr="006D532F">
        <w:rPr>
          <w:rFonts w:ascii="Verdana" w:hAnsi="Verdana"/>
          <w:sz w:val="22"/>
          <w:szCs w:val="22"/>
        </w:rPr>
        <w:t>.</w:t>
      </w:r>
      <w:proofErr w:type="gramEnd"/>
      <w:r w:rsidRPr="006D532F">
        <w:rPr>
          <w:rFonts w:ascii="Verdana" w:hAnsi="Verdana"/>
          <w:sz w:val="22"/>
          <w:szCs w:val="22"/>
        </w:rPr>
        <w:t xml:space="preserve"> Hvilken kontekst er det placeret i. Hvilken betydning har det eller har det haft.</w:t>
      </w:r>
    </w:p>
    <w:p w:rsidR="0081583A" w:rsidRPr="006D532F" w:rsidRDefault="0081583A" w:rsidP="0081583A">
      <w:pPr>
        <w:rPr>
          <w:rFonts w:ascii="Verdana" w:hAnsi="Verdana"/>
          <w:sz w:val="22"/>
          <w:szCs w:val="22"/>
        </w:rPr>
      </w:pPr>
    </w:p>
    <w:p w:rsidR="0081583A" w:rsidRPr="006D532F" w:rsidRDefault="0081583A" w:rsidP="0081583A">
      <w:pPr>
        <w:rPr>
          <w:rFonts w:ascii="Verdana" w:hAnsi="Verdana"/>
          <w:b/>
          <w:sz w:val="22"/>
          <w:szCs w:val="22"/>
        </w:rPr>
      </w:pPr>
      <w:r w:rsidRPr="006D532F">
        <w:rPr>
          <w:rFonts w:ascii="Verdana" w:hAnsi="Verdana"/>
          <w:b/>
          <w:sz w:val="22"/>
          <w:szCs w:val="22"/>
        </w:rPr>
        <w:t>Empiri, teori og metode i dansk</w:t>
      </w:r>
    </w:p>
    <w:p w:rsidR="0081583A" w:rsidRPr="006D532F" w:rsidRDefault="0081583A" w:rsidP="0081583A">
      <w:pPr>
        <w:rPr>
          <w:rFonts w:ascii="Verdana" w:hAnsi="Verdana"/>
          <w:sz w:val="22"/>
          <w:szCs w:val="22"/>
        </w:rPr>
      </w:pPr>
      <w:r w:rsidRPr="006D532F">
        <w:rPr>
          <w:rFonts w:ascii="Verdana" w:hAnsi="Verdana"/>
          <w:sz w:val="22"/>
          <w:szCs w:val="22"/>
        </w:rPr>
        <w:t xml:space="preserve">Dansk hører med til det humanistiske hovedområde. </w:t>
      </w:r>
    </w:p>
    <w:p w:rsidR="0081583A" w:rsidRPr="006D532F" w:rsidRDefault="0081583A" w:rsidP="0081583A">
      <w:pPr>
        <w:rPr>
          <w:rFonts w:ascii="Verdana" w:hAnsi="Verdana"/>
          <w:sz w:val="22"/>
          <w:szCs w:val="22"/>
        </w:rPr>
      </w:pPr>
      <w:r w:rsidRPr="006D532F">
        <w:rPr>
          <w:rFonts w:ascii="Verdana" w:hAnsi="Verdana"/>
          <w:sz w:val="22"/>
          <w:szCs w:val="22"/>
        </w:rPr>
        <w:t>Udgangspunktet for humanistiske undersøgelser (empiri) er dels det ikke-håndgribelige i form af tanker, ytringer, handlinger, ideer og følelser etc. og dels det håndgribelige i form af sprog, skrifter, kunstværker, arkitektur etc.</w:t>
      </w:r>
    </w:p>
    <w:p w:rsidR="0081583A" w:rsidRPr="006D532F" w:rsidRDefault="0081583A" w:rsidP="0081583A">
      <w:pPr>
        <w:rPr>
          <w:rFonts w:ascii="Verdana" w:hAnsi="Verdana"/>
          <w:sz w:val="22"/>
          <w:szCs w:val="22"/>
        </w:rPr>
      </w:pPr>
      <w:proofErr w:type="spellStart"/>
      <w:r w:rsidRPr="006D532F">
        <w:rPr>
          <w:rFonts w:ascii="Verdana" w:hAnsi="Verdana"/>
          <w:sz w:val="22"/>
          <w:szCs w:val="22"/>
        </w:rPr>
        <w:t>Dansk’s</w:t>
      </w:r>
      <w:proofErr w:type="spellEnd"/>
      <w:r w:rsidRPr="006D532F">
        <w:rPr>
          <w:rFonts w:ascii="Verdana" w:hAnsi="Verdana"/>
          <w:sz w:val="22"/>
          <w:szCs w:val="22"/>
        </w:rPr>
        <w:t xml:space="preserve"> metode er den hermeneutiske, som arbejder med fortolkningen som forudsætning for erkendelsen (forforståelsen) og omvendt. Dette kaldes den hermeneutiske spiral.</w:t>
      </w:r>
    </w:p>
    <w:p w:rsidR="00FA342F" w:rsidRDefault="00FA342F"/>
    <w:p w:rsidR="003B64D5" w:rsidRDefault="003B64D5"/>
    <w:p w:rsidR="003B64D5" w:rsidRDefault="003B64D5"/>
    <w:p w:rsidR="003B64D5" w:rsidRDefault="003B64D5"/>
    <w:p w:rsidR="003B64D5" w:rsidRDefault="003B64D5"/>
    <w:p w:rsidR="003B64D5" w:rsidRDefault="003B64D5"/>
    <w:p w:rsidR="003B64D5" w:rsidRDefault="003B64D5"/>
    <w:p w:rsidR="003B64D5" w:rsidRPr="003B64D5" w:rsidRDefault="003B64D5" w:rsidP="003B64D5">
      <w:pPr>
        <w:autoSpaceDE w:val="0"/>
        <w:autoSpaceDN w:val="0"/>
        <w:adjustRightInd w:val="0"/>
        <w:rPr>
          <w:rFonts w:ascii="Verdana" w:hAnsi="Verdana"/>
          <w:b/>
          <w:color w:val="000000"/>
          <w:sz w:val="28"/>
          <w:szCs w:val="28"/>
        </w:rPr>
      </w:pPr>
      <w:r w:rsidRPr="003B64D5">
        <w:rPr>
          <w:rFonts w:ascii="Verdana" w:hAnsi="Verdana"/>
          <w:b/>
          <w:sz w:val="28"/>
          <w:szCs w:val="28"/>
        </w:rPr>
        <w:t>Anvendte begreber i skriftlige opgaveformuleringer</w:t>
      </w:r>
    </w:p>
    <w:p w:rsidR="003B64D5" w:rsidRPr="003B64D5" w:rsidRDefault="003B64D5" w:rsidP="003B64D5">
      <w:pPr>
        <w:rPr>
          <w:rFonts w:ascii="Verdana" w:hAnsi="Verdana"/>
          <w:sz w:val="22"/>
          <w:szCs w:val="22"/>
        </w:rPr>
      </w:pPr>
      <w:r w:rsidRPr="003B64D5">
        <w:rPr>
          <w:rFonts w:ascii="Verdana" w:hAnsi="Verdana"/>
          <w:sz w:val="22"/>
          <w:szCs w:val="22"/>
        </w:rPr>
        <w:t xml:space="preserve">I det følgende kan du se en oversigt over, hvilke begreber du typisk vil støde på i opgaveformuleringer i dansk og historie. De 4 kolonner læst fra venstre mod højre angiver en stigende taksonomi, hvilket betyder, at du på det </w:t>
      </w:r>
      <w:r w:rsidRPr="003B64D5">
        <w:rPr>
          <w:rFonts w:ascii="Verdana" w:hAnsi="Verdana"/>
          <w:i/>
          <w:sz w:val="22"/>
          <w:szCs w:val="22"/>
        </w:rPr>
        <w:t xml:space="preserve">unistrukturelle </w:t>
      </w:r>
      <w:r w:rsidRPr="003B64D5">
        <w:rPr>
          <w:rFonts w:ascii="Verdana" w:hAnsi="Verdana"/>
          <w:sz w:val="22"/>
          <w:szCs w:val="22"/>
        </w:rPr>
        <w:t xml:space="preserve">niveau befinder dig på det laveste faglige niveau, og omvendt på det </w:t>
      </w:r>
      <w:r w:rsidRPr="003B64D5">
        <w:rPr>
          <w:rFonts w:ascii="Verdana" w:hAnsi="Verdana"/>
          <w:i/>
          <w:sz w:val="22"/>
          <w:szCs w:val="22"/>
        </w:rPr>
        <w:t>udvidet abstrakte</w:t>
      </w:r>
      <w:r w:rsidRPr="003B64D5">
        <w:rPr>
          <w:rFonts w:ascii="Verdana" w:hAnsi="Verdana"/>
          <w:sz w:val="22"/>
          <w:szCs w:val="22"/>
        </w:rPr>
        <w:t xml:space="preserve"> niveau befinder dig på det højeste faglige niveau. For at opfylde kravene til en god opgave, skal du kunne arbejde og demonstrere faglig viden på mindst de 3 første niveauer.</w:t>
      </w:r>
    </w:p>
    <w:p w:rsidR="003B64D5" w:rsidRPr="003B64D5" w:rsidRDefault="003B64D5" w:rsidP="003B64D5">
      <w:pPr>
        <w:rPr>
          <w:rFonts w:ascii="Verdana" w:hAnsi="Verdana"/>
          <w:sz w:val="22"/>
          <w:szCs w:val="22"/>
        </w:rPr>
      </w:pPr>
    </w:p>
    <w:p w:rsidR="003B64D5" w:rsidRPr="003B64D5" w:rsidRDefault="003B64D5" w:rsidP="003B64D5">
      <w:pPr>
        <w:rPr>
          <w:rFonts w:ascii="Verdana" w:hAnsi="Verdana"/>
          <w:b/>
          <w:sz w:val="22"/>
          <w:szCs w:val="22"/>
        </w:rPr>
      </w:pPr>
      <w:r w:rsidRPr="003B64D5">
        <w:rPr>
          <w:rFonts w:ascii="Verdana" w:hAnsi="Verdana"/>
          <w:b/>
          <w:sz w:val="22"/>
          <w:szCs w:val="22"/>
        </w:rPr>
        <w:t>SOLO taksonomi</w:t>
      </w:r>
    </w:p>
    <w:p w:rsidR="003B64D5" w:rsidRPr="003B64D5" w:rsidRDefault="003B64D5" w:rsidP="003B64D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860"/>
        <w:gridCol w:w="2065"/>
        <w:gridCol w:w="2556"/>
        <w:gridCol w:w="2175"/>
      </w:tblGrid>
      <w:tr w:rsidR="003B64D5" w:rsidRPr="003B64D5" w:rsidTr="00533164">
        <w:tc>
          <w:tcPr>
            <w:tcW w:w="1788" w:type="dxa"/>
            <w:shd w:val="clear" w:color="auto" w:fill="auto"/>
          </w:tcPr>
          <w:p w:rsidR="003B64D5" w:rsidRPr="003B64D5" w:rsidRDefault="003B64D5" w:rsidP="003B64D5">
            <w:pPr>
              <w:rPr>
                <w:rFonts w:ascii="Verdana" w:hAnsi="Verdana"/>
                <w:sz w:val="22"/>
                <w:szCs w:val="22"/>
              </w:rPr>
            </w:pPr>
          </w:p>
        </w:tc>
        <w:tc>
          <w:tcPr>
            <w:tcW w:w="1917" w:type="dxa"/>
            <w:shd w:val="clear" w:color="auto" w:fill="auto"/>
          </w:tcPr>
          <w:p w:rsidR="003B64D5" w:rsidRPr="003B64D5" w:rsidRDefault="003B64D5" w:rsidP="003B64D5">
            <w:pPr>
              <w:rPr>
                <w:rFonts w:ascii="Verdana" w:hAnsi="Verdana"/>
                <w:sz w:val="22"/>
                <w:szCs w:val="22"/>
              </w:rPr>
            </w:pPr>
            <w:r w:rsidRPr="003B64D5">
              <w:rPr>
                <w:rFonts w:ascii="Verdana" w:hAnsi="Verdana"/>
                <w:b/>
                <w:sz w:val="22"/>
                <w:szCs w:val="22"/>
              </w:rPr>
              <w:t>Unistrukturel</w:t>
            </w:r>
          </w:p>
        </w:tc>
        <w:tc>
          <w:tcPr>
            <w:tcW w:w="2099" w:type="dxa"/>
            <w:shd w:val="clear" w:color="auto" w:fill="auto"/>
          </w:tcPr>
          <w:p w:rsidR="003B64D5" w:rsidRPr="003B64D5" w:rsidRDefault="003B64D5" w:rsidP="003B64D5">
            <w:pPr>
              <w:rPr>
                <w:rFonts w:ascii="Verdana" w:hAnsi="Verdana"/>
                <w:sz w:val="22"/>
                <w:szCs w:val="22"/>
              </w:rPr>
            </w:pPr>
            <w:r w:rsidRPr="003B64D5">
              <w:rPr>
                <w:rFonts w:ascii="Verdana" w:hAnsi="Verdana"/>
                <w:b/>
                <w:sz w:val="22"/>
                <w:szCs w:val="22"/>
              </w:rPr>
              <w:t>Multistrukturel</w:t>
            </w:r>
          </w:p>
        </w:tc>
        <w:tc>
          <w:tcPr>
            <w:tcW w:w="2110"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Rational</w:t>
            </w:r>
          </w:p>
        </w:tc>
        <w:tc>
          <w:tcPr>
            <w:tcW w:w="1940"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Udvidet abstrakt</w:t>
            </w:r>
          </w:p>
        </w:tc>
      </w:tr>
      <w:tr w:rsidR="003B64D5" w:rsidRPr="003B64D5" w:rsidTr="00533164">
        <w:tc>
          <w:tcPr>
            <w:tcW w:w="1788" w:type="dxa"/>
            <w:shd w:val="clear" w:color="auto" w:fill="auto"/>
          </w:tcPr>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p>
          <w:p w:rsidR="003B64D5" w:rsidRPr="003B64D5" w:rsidRDefault="003B64D5" w:rsidP="003B64D5">
            <w:pPr>
              <w:rPr>
                <w:rFonts w:ascii="Verdana" w:hAnsi="Verdana"/>
                <w:b/>
                <w:sz w:val="22"/>
                <w:szCs w:val="22"/>
              </w:rPr>
            </w:pPr>
          </w:p>
          <w:p w:rsidR="003B64D5" w:rsidRPr="003B64D5" w:rsidRDefault="003B64D5" w:rsidP="003B64D5">
            <w:pPr>
              <w:rPr>
                <w:rFonts w:ascii="Verdana" w:hAnsi="Verdana"/>
                <w:b/>
                <w:sz w:val="22"/>
                <w:szCs w:val="22"/>
              </w:rPr>
            </w:pPr>
          </w:p>
        </w:tc>
        <w:tc>
          <w:tcPr>
            <w:tcW w:w="1917"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Fokus på et enkelt relevant aspekt</w:t>
            </w:r>
          </w:p>
        </w:tc>
        <w:tc>
          <w:tcPr>
            <w:tcW w:w="2099"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Flere relevante enkelt-aspekter inddrages, men samordnes ikke</w:t>
            </w:r>
          </w:p>
        </w:tc>
        <w:tc>
          <w:tcPr>
            <w:tcW w:w="2110"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Flere relevante enkeltaspekter samordnes til en sammenhængende helhed med konklusioner. Sammenhængen er forstået</w:t>
            </w:r>
          </w:p>
        </w:tc>
        <w:tc>
          <w:tcPr>
            <w:tcW w:w="1940"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Besvarelsen i de forudgående faser skaber en forståelse for bagvedliggende strukturer</w:t>
            </w:r>
          </w:p>
          <w:p w:rsidR="003B64D5" w:rsidRPr="003B64D5" w:rsidRDefault="003B64D5" w:rsidP="003B64D5">
            <w:pPr>
              <w:rPr>
                <w:rFonts w:ascii="Verdana" w:hAnsi="Verdana"/>
                <w:b/>
                <w:sz w:val="22"/>
                <w:szCs w:val="22"/>
              </w:rPr>
            </w:pPr>
            <w:r w:rsidRPr="003B64D5">
              <w:rPr>
                <w:rFonts w:ascii="Verdana" w:hAnsi="Verdana"/>
                <w:b/>
                <w:sz w:val="22"/>
                <w:szCs w:val="22"/>
              </w:rPr>
              <w:t>Mere abstrakte teorier og principper inddrages til belysning</w:t>
            </w:r>
          </w:p>
        </w:tc>
      </w:tr>
      <w:tr w:rsidR="003B64D5" w:rsidRPr="003B64D5" w:rsidTr="00533164">
        <w:tc>
          <w:tcPr>
            <w:tcW w:w="1788"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Dansk</w:t>
            </w:r>
          </w:p>
        </w:tc>
        <w:tc>
          <w:tcPr>
            <w:tcW w:w="1917" w:type="dxa"/>
            <w:shd w:val="clear" w:color="auto" w:fill="auto"/>
          </w:tcPr>
          <w:p w:rsidR="003B64D5" w:rsidRPr="003B64D5" w:rsidRDefault="003B64D5" w:rsidP="003B64D5">
            <w:pPr>
              <w:rPr>
                <w:rFonts w:ascii="Verdana" w:hAnsi="Verdana"/>
                <w:i/>
                <w:sz w:val="22"/>
                <w:szCs w:val="22"/>
              </w:rPr>
            </w:pPr>
            <w:r w:rsidRPr="003B64D5">
              <w:rPr>
                <w:rFonts w:ascii="Verdana" w:hAnsi="Verdana"/>
                <w:i/>
                <w:sz w:val="22"/>
                <w:szCs w:val="22"/>
              </w:rPr>
              <w:t>Værk</w:t>
            </w: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r w:rsidRPr="003B64D5">
              <w:rPr>
                <w:rFonts w:ascii="Verdana" w:hAnsi="Verdana"/>
                <w:sz w:val="22"/>
                <w:szCs w:val="22"/>
              </w:rPr>
              <w:t>Referat</w:t>
            </w:r>
          </w:p>
          <w:p w:rsidR="003B64D5" w:rsidRPr="003B64D5" w:rsidRDefault="003B64D5" w:rsidP="003B64D5">
            <w:pPr>
              <w:rPr>
                <w:rFonts w:ascii="Verdana" w:hAnsi="Verdana"/>
                <w:sz w:val="22"/>
                <w:szCs w:val="22"/>
              </w:rPr>
            </w:pPr>
            <w:r w:rsidRPr="003B64D5">
              <w:rPr>
                <w:rFonts w:ascii="Verdana" w:hAnsi="Verdana"/>
                <w:sz w:val="22"/>
                <w:szCs w:val="22"/>
              </w:rPr>
              <w:t>Beskrivelse</w:t>
            </w:r>
          </w:p>
          <w:p w:rsidR="003B64D5" w:rsidRPr="003B64D5" w:rsidRDefault="003B64D5" w:rsidP="003B64D5">
            <w:pPr>
              <w:rPr>
                <w:rFonts w:ascii="Verdana" w:hAnsi="Verdana"/>
                <w:sz w:val="22"/>
                <w:szCs w:val="22"/>
              </w:rPr>
            </w:pPr>
            <w:r w:rsidRPr="003B64D5">
              <w:rPr>
                <w:rFonts w:ascii="Verdana" w:hAnsi="Verdana"/>
                <w:sz w:val="22"/>
                <w:szCs w:val="22"/>
              </w:rPr>
              <w:t>Redegørelse</w:t>
            </w:r>
          </w:p>
        </w:tc>
        <w:tc>
          <w:tcPr>
            <w:tcW w:w="2099" w:type="dxa"/>
            <w:shd w:val="clear" w:color="auto" w:fill="auto"/>
          </w:tcPr>
          <w:p w:rsidR="003B64D5" w:rsidRPr="003B64D5" w:rsidRDefault="003B64D5" w:rsidP="003B64D5">
            <w:pPr>
              <w:rPr>
                <w:rFonts w:ascii="Verdana" w:hAnsi="Verdana"/>
                <w:i/>
                <w:sz w:val="22"/>
                <w:szCs w:val="22"/>
              </w:rPr>
            </w:pPr>
            <w:r w:rsidRPr="003B64D5">
              <w:rPr>
                <w:rFonts w:ascii="Verdana" w:hAnsi="Verdana"/>
                <w:i/>
                <w:sz w:val="22"/>
                <w:szCs w:val="22"/>
              </w:rPr>
              <w:t>Værk</w:t>
            </w:r>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r w:rsidRPr="003B64D5">
              <w:rPr>
                <w:rFonts w:ascii="Verdana" w:hAnsi="Verdana"/>
                <w:sz w:val="22"/>
                <w:szCs w:val="22"/>
              </w:rPr>
              <w:t>Analyse</w:t>
            </w:r>
          </w:p>
        </w:tc>
        <w:tc>
          <w:tcPr>
            <w:tcW w:w="2110" w:type="dxa"/>
            <w:shd w:val="clear" w:color="auto" w:fill="auto"/>
          </w:tcPr>
          <w:p w:rsidR="003B64D5" w:rsidRPr="003B64D5" w:rsidRDefault="003B64D5" w:rsidP="003B64D5">
            <w:pPr>
              <w:rPr>
                <w:rFonts w:ascii="Verdana" w:hAnsi="Verdana"/>
                <w:i/>
                <w:sz w:val="22"/>
                <w:szCs w:val="22"/>
              </w:rPr>
            </w:pPr>
            <w:r w:rsidRPr="003B64D5">
              <w:rPr>
                <w:rFonts w:ascii="Verdana" w:hAnsi="Verdana"/>
                <w:i/>
                <w:sz w:val="22"/>
                <w:szCs w:val="22"/>
              </w:rPr>
              <w:t>Værk/</w:t>
            </w:r>
            <w:proofErr w:type="spellStart"/>
            <w:r w:rsidRPr="003B64D5">
              <w:rPr>
                <w:rFonts w:ascii="Verdana" w:hAnsi="Verdana"/>
                <w:i/>
                <w:sz w:val="22"/>
                <w:szCs w:val="22"/>
              </w:rPr>
              <w:t>intertekstuelt</w:t>
            </w:r>
            <w:proofErr w:type="spellEnd"/>
          </w:p>
          <w:p w:rsidR="003B64D5" w:rsidRPr="003B64D5" w:rsidRDefault="003B64D5" w:rsidP="003B64D5">
            <w:pPr>
              <w:rPr>
                <w:rFonts w:ascii="Verdana" w:hAnsi="Verdana"/>
                <w:sz w:val="22"/>
                <w:szCs w:val="22"/>
              </w:rPr>
            </w:pPr>
          </w:p>
          <w:p w:rsidR="003B64D5" w:rsidRPr="003B64D5" w:rsidRDefault="003B64D5" w:rsidP="003B64D5">
            <w:pPr>
              <w:rPr>
                <w:rFonts w:ascii="Verdana" w:hAnsi="Verdana"/>
                <w:sz w:val="22"/>
                <w:szCs w:val="22"/>
              </w:rPr>
            </w:pPr>
            <w:r w:rsidRPr="003B64D5">
              <w:rPr>
                <w:rFonts w:ascii="Verdana" w:hAnsi="Verdana"/>
                <w:sz w:val="22"/>
                <w:szCs w:val="22"/>
              </w:rPr>
              <w:t>Fortolkning</w:t>
            </w:r>
          </w:p>
          <w:p w:rsidR="003B64D5" w:rsidRPr="003B64D5" w:rsidRDefault="003B64D5" w:rsidP="003B64D5">
            <w:pPr>
              <w:rPr>
                <w:rFonts w:ascii="Verdana" w:hAnsi="Verdana"/>
                <w:sz w:val="22"/>
                <w:szCs w:val="22"/>
              </w:rPr>
            </w:pPr>
            <w:r w:rsidRPr="003B64D5">
              <w:rPr>
                <w:rFonts w:ascii="Verdana" w:hAnsi="Verdana"/>
                <w:sz w:val="22"/>
                <w:szCs w:val="22"/>
              </w:rPr>
              <w:t>Sammenligning</w:t>
            </w:r>
          </w:p>
          <w:p w:rsidR="003B64D5" w:rsidRPr="003B64D5" w:rsidRDefault="003B64D5" w:rsidP="003B64D5">
            <w:pPr>
              <w:rPr>
                <w:rFonts w:ascii="Verdana" w:hAnsi="Verdana"/>
                <w:sz w:val="22"/>
                <w:szCs w:val="22"/>
              </w:rPr>
            </w:pPr>
            <w:r w:rsidRPr="003B64D5">
              <w:rPr>
                <w:rFonts w:ascii="Verdana" w:hAnsi="Verdana"/>
                <w:sz w:val="22"/>
                <w:szCs w:val="22"/>
              </w:rPr>
              <w:t>Sammenfatning</w:t>
            </w:r>
          </w:p>
          <w:p w:rsidR="003B64D5" w:rsidRPr="003B64D5" w:rsidRDefault="003B64D5" w:rsidP="003B64D5">
            <w:pPr>
              <w:rPr>
                <w:rFonts w:ascii="Verdana" w:hAnsi="Verdana"/>
                <w:sz w:val="22"/>
                <w:szCs w:val="22"/>
              </w:rPr>
            </w:pPr>
            <w:r w:rsidRPr="003B64D5">
              <w:rPr>
                <w:rFonts w:ascii="Verdana" w:hAnsi="Verdana"/>
                <w:sz w:val="22"/>
                <w:szCs w:val="22"/>
              </w:rPr>
              <w:t>Diskussion</w:t>
            </w:r>
          </w:p>
          <w:p w:rsidR="003B64D5" w:rsidRPr="003B64D5" w:rsidRDefault="003B64D5" w:rsidP="003B64D5">
            <w:pPr>
              <w:rPr>
                <w:rFonts w:ascii="Verdana" w:hAnsi="Verdana"/>
                <w:sz w:val="22"/>
                <w:szCs w:val="22"/>
              </w:rPr>
            </w:pPr>
            <w:r w:rsidRPr="003B64D5">
              <w:rPr>
                <w:rFonts w:ascii="Verdana" w:hAnsi="Verdana"/>
                <w:sz w:val="22"/>
                <w:szCs w:val="22"/>
              </w:rPr>
              <w:t>Refleksion</w:t>
            </w:r>
          </w:p>
        </w:tc>
        <w:tc>
          <w:tcPr>
            <w:tcW w:w="1940" w:type="dxa"/>
            <w:shd w:val="clear" w:color="auto" w:fill="auto"/>
          </w:tcPr>
          <w:p w:rsidR="003B64D5" w:rsidRPr="003B64D5" w:rsidRDefault="003B64D5" w:rsidP="003B64D5">
            <w:pPr>
              <w:rPr>
                <w:rFonts w:ascii="Verdana" w:hAnsi="Verdana"/>
                <w:i/>
                <w:sz w:val="22"/>
                <w:szCs w:val="22"/>
              </w:rPr>
            </w:pPr>
            <w:proofErr w:type="spellStart"/>
            <w:r w:rsidRPr="003B64D5">
              <w:rPr>
                <w:rFonts w:ascii="Verdana" w:hAnsi="Verdana"/>
                <w:i/>
                <w:sz w:val="22"/>
                <w:szCs w:val="22"/>
              </w:rPr>
              <w:t>Intertekstuelt</w:t>
            </w:r>
            <w:proofErr w:type="spellEnd"/>
            <w:r w:rsidRPr="003B64D5">
              <w:rPr>
                <w:rFonts w:ascii="Verdana" w:hAnsi="Verdana"/>
                <w:i/>
                <w:sz w:val="22"/>
                <w:szCs w:val="22"/>
              </w:rPr>
              <w:t>/</w:t>
            </w:r>
          </w:p>
          <w:p w:rsidR="003B64D5" w:rsidRPr="003B64D5" w:rsidRDefault="003B64D5" w:rsidP="003B64D5">
            <w:pPr>
              <w:rPr>
                <w:rFonts w:ascii="Verdana" w:hAnsi="Verdana"/>
                <w:i/>
                <w:sz w:val="22"/>
                <w:szCs w:val="22"/>
              </w:rPr>
            </w:pPr>
            <w:r w:rsidRPr="003B64D5">
              <w:rPr>
                <w:rFonts w:ascii="Verdana" w:hAnsi="Verdana"/>
                <w:i/>
                <w:sz w:val="22"/>
                <w:szCs w:val="22"/>
              </w:rPr>
              <w:t>interkulturelt</w:t>
            </w:r>
          </w:p>
          <w:p w:rsidR="003B64D5" w:rsidRPr="003B64D5" w:rsidRDefault="003B64D5" w:rsidP="003B64D5">
            <w:pPr>
              <w:rPr>
                <w:rFonts w:ascii="Verdana" w:hAnsi="Verdana"/>
                <w:sz w:val="22"/>
                <w:szCs w:val="22"/>
              </w:rPr>
            </w:pPr>
            <w:r w:rsidRPr="003B64D5">
              <w:rPr>
                <w:rFonts w:ascii="Verdana" w:hAnsi="Verdana"/>
                <w:sz w:val="22"/>
                <w:szCs w:val="22"/>
              </w:rPr>
              <w:t>Diskussion</w:t>
            </w:r>
          </w:p>
          <w:p w:rsidR="003B64D5" w:rsidRPr="003B64D5" w:rsidRDefault="003B64D5" w:rsidP="003B64D5">
            <w:pPr>
              <w:rPr>
                <w:rFonts w:ascii="Verdana" w:hAnsi="Verdana"/>
                <w:sz w:val="22"/>
                <w:szCs w:val="22"/>
              </w:rPr>
            </w:pPr>
            <w:r w:rsidRPr="003B64D5">
              <w:rPr>
                <w:rFonts w:ascii="Verdana" w:hAnsi="Verdana"/>
                <w:sz w:val="22"/>
                <w:szCs w:val="22"/>
              </w:rPr>
              <w:t>Refleksion</w:t>
            </w:r>
          </w:p>
          <w:p w:rsidR="003B64D5" w:rsidRPr="003B64D5" w:rsidRDefault="003B64D5" w:rsidP="003B64D5">
            <w:pPr>
              <w:rPr>
                <w:rFonts w:ascii="Verdana" w:hAnsi="Verdana"/>
                <w:sz w:val="22"/>
                <w:szCs w:val="22"/>
              </w:rPr>
            </w:pPr>
            <w:r w:rsidRPr="003B64D5">
              <w:rPr>
                <w:rFonts w:ascii="Verdana" w:hAnsi="Verdana"/>
                <w:sz w:val="22"/>
                <w:szCs w:val="22"/>
              </w:rPr>
              <w:t>Perspektivering</w:t>
            </w:r>
          </w:p>
          <w:p w:rsidR="003B64D5" w:rsidRPr="003B64D5" w:rsidRDefault="003B64D5" w:rsidP="003B64D5">
            <w:pPr>
              <w:rPr>
                <w:rFonts w:ascii="Verdana" w:hAnsi="Verdana"/>
                <w:sz w:val="22"/>
                <w:szCs w:val="22"/>
              </w:rPr>
            </w:pPr>
            <w:r w:rsidRPr="003B64D5">
              <w:rPr>
                <w:rFonts w:ascii="Verdana" w:hAnsi="Verdana"/>
                <w:sz w:val="22"/>
                <w:szCs w:val="22"/>
              </w:rPr>
              <w:t>Vurdering</w:t>
            </w:r>
          </w:p>
        </w:tc>
      </w:tr>
      <w:tr w:rsidR="003B64D5" w:rsidRPr="003B64D5" w:rsidTr="00533164">
        <w:tc>
          <w:tcPr>
            <w:tcW w:w="1788" w:type="dxa"/>
            <w:shd w:val="clear" w:color="auto" w:fill="auto"/>
          </w:tcPr>
          <w:p w:rsidR="003B64D5" w:rsidRPr="003B64D5" w:rsidRDefault="003B64D5" w:rsidP="003B64D5">
            <w:pPr>
              <w:rPr>
                <w:rFonts w:ascii="Verdana" w:hAnsi="Verdana"/>
                <w:b/>
                <w:sz w:val="22"/>
                <w:szCs w:val="22"/>
              </w:rPr>
            </w:pPr>
            <w:r w:rsidRPr="003B64D5">
              <w:rPr>
                <w:rFonts w:ascii="Verdana" w:hAnsi="Verdana"/>
                <w:b/>
                <w:sz w:val="22"/>
                <w:szCs w:val="22"/>
              </w:rPr>
              <w:t>Historie</w:t>
            </w:r>
          </w:p>
        </w:tc>
        <w:tc>
          <w:tcPr>
            <w:tcW w:w="1917" w:type="dxa"/>
            <w:shd w:val="clear" w:color="auto" w:fill="auto"/>
          </w:tcPr>
          <w:p w:rsidR="003B64D5" w:rsidRPr="003B64D5" w:rsidRDefault="003B64D5" w:rsidP="003B64D5">
            <w:pPr>
              <w:rPr>
                <w:rFonts w:ascii="Verdana" w:hAnsi="Verdana"/>
                <w:sz w:val="22"/>
                <w:szCs w:val="22"/>
              </w:rPr>
            </w:pPr>
            <w:r w:rsidRPr="003B64D5">
              <w:rPr>
                <w:rFonts w:ascii="Verdana" w:hAnsi="Verdana"/>
                <w:sz w:val="22"/>
                <w:szCs w:val="22"/>
              </w:rPr>
              <w:t>Redegørelse</w:t>
            </w:r>
          </w:p>
          <w:p w:rsidR="003B64D5" w:rsidRPr="003B64D5" w:rsidRDefault="003B64D5" w:rsidP="003B64D5">
            <w:pPr>
              <w:rPr>
                <w:rFonts w:ascii="Verdana" w:hAnsi="Verdana"/>
                <w:sz w:val="22"/>
                <w:szCs w:val="22"/>
              </w:rPr>
            </w:pPr>
          </w:p>
        </w:tc>
        <w:tc>
          <w:tcPr>
            <w:tcW w:w="2099" w:type="dxa"/>
            <w:shd w:val="clear" w:color="auto" w:fill="auto"/>
          </w:tcPr>
          <w:p w:rsidR="003B64D5" w:rsidRPr="003B64D5" w:rsidRDefault="003B64D5" w:rsidP="003B64D5">
            <w:pPr>
              <w:rPr>
                <w:rFonts w:ascii="Verdana" w:hAnsi="Verdana"/>
                <w:sz w:val="22"/>
                <w:szCs w:val="22"/>
              </w:rPr>
            </w:pPr>
            <w:r w:rsidRPr="003B64D5">
              <w:rPr>
                <w:rFonts w:ascii="Verdana" w:hAnsi="Verdana"/>
                <w:sz w:val="22"/>
                <w:szCs w:val="22"/>
              </w:rPr>
              <w:t>Analyse</w:t>
            </w:r>
          </w:p>
        </w:tc>
        <w:tc>
          <w:tcPr>
            <w:tcW w:w="2110" w:type="dxa"/>
            <w:shd w:val="clear" w:color="auto" w:fill="auto"/>
          </w:tcPr>
          <w:p w:rsidR="003B64D5" w:rsidRPr="003B64D5" w:rsidRDefault="003B64D5" w:rsidP="003B64D5">
            <w:pPr>
              <w:rPr>
                <w:rFonts w:ascii="Verdana" w:hAnsi="Verdana"/>
                <w:sz w:val="22"/>
                <w:szCs w:val="22"/>
              </w:rPr>
            </w:pPr>
            <w:r w:rsidRPr="003B64D5">
              <w:rPr>
                <w:rFonts w:ascii="Verdana" w:hAnsi="Verdana"/>
                <w:sz w:val="22"/>
                <w:szCs w:val="22"/>
              </w:rPr>
              <w:t>Vurdering</w:t>
            </w:r>
          </w:p>
          <w:p w:rsidR="003B64D5" w:rsidRPr="003B64D5" w:rsidRDefault="003B64D5" w:rsidP="003B64D5">
            <w:pPr>
              <w:rPr>
                <w:rFonts w:ascii="Verdana" w:hAnsi="Verdana"/>
                <w:sz w:val="22"/>
                <w:szCs w:val="22"/>
              </w:rPr>
            </w:pPr>
            <w:r w:rsidRPr="003B64D5">
              <w:rPr>
                <w:rFonts w:ascii="Verdana" w:hAnsi="Verdana"/>
                <w:sz w:val="22"/>
                <w:szCs w:val="22"/>
              </w:rPr>
              <w:t>Diskussion</w:t>
            </w:r>
          </w:p>
        </w:tc>
        <w:tc>
          <w:tcPr>
            <w:tcW w:w="1940" w:type="dxa"/>
            <w:shd w:val="clear" w:color="auto" w:fill="auto"/>
          </w:tcPr>
          <w:p w:rsidR="003B64D5" w:rsidRPr="003B64D5" w:rsidRDefault="003B64D5" w:rsidP="003B64D5">
            <w:pPr>
              <w:rPr>
                <w:rFonts w:ascii="Verdana" w:hAnsi="Verdana"/>
                <w:sz w:val="22"/>
                <w:szCs w:val="22"/>
              </w:rPr>
            </w:pPr>
            <w:r w:rsidRPr="003B64D5">
              <w:rPr>
                <w:rFonts w:ascii="Verdana" w:hAnsi="Verdana"/>
                <w:sz w:val="22"/>
                <w:szCs w:val="22"/>
              </w:rPr>
              <w:t>Vurdering</w:t>
            </w:r>
          </w:p>
          <w:p w:rsidR="003B64D5" w:rsidRPr="003B64D5" w:rsidRDefault="003B64D5" w:rsidP="003B64D5">
            <w:pPr>
              <w:rPr>
                <w:rFonts w:ascii="Verdana" w:hAnsi="Verdana"/>
                <w:sz w:val="22"/>
                <w:szCs w:val="22"/>
              </w:rPr>
            </w:pPr>
            <w:r w:rsidRPr="003B64D5">
              <w:rPr>
                <w:rFonts w:ascii="Verdana" w:hAnsi="Verdana"/>
                <w:sz w:val="22"/>
                <w:szCs w:val="22"/>
              </w:rPr>
              <w:t>Diskussion</w:t>
            </w:r>
          </w:p>
        </w:tc>
      </w:tr>
    </w:tbl>
    <w:p w:rsidR="003B64D5" w:rsidRDefault="003B64D5">
      <w:bookmarkStart w:id="0" w:name="_GoBack"/>
      <w:bookmarkEnd w:id="0"/>
    </w:p>
    <w:sectPr w:rsidR="003B64D5" w:rsidSect="0081583A">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3A"/>
    <w:rsid w:val="003B64D5"/>
    <w:rsid w:val="0081583A"/>
    <w:rsid w:val="00D675BF"/>
    <w:rsid w:val="00FA3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3A"/>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3A"/>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6229</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Ditte Smith</dc:creator>
  <cp:lastModifiedBy>Ditte Smith</cp:lastModifiedBy>
  <cp:revision>2</cp:revision>
  <dcterms:created xsi:type="dcterms:W3CDTF">2013-03-18T14:18:00Z</dcterms:created>
  <dcterms:modified xsi:type="dcterms:W3CDTF">2013-03-18T14:25:00Z</dcterms:modified>
</cp:coreProperties>
</file>